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BF6D94" w:rsidRPr="009E67EE" w:rsidRDefault="00BF6D94" w:rsidP="00BF6D94">
      <w:pPr>
        <w:spacing w:after="160" w:line="259" w:lineRule="auto"/>
        <w:rPr>
          <w:rFonts w:ascii="Arial" w:eastAsiaTheme="minorEastAsia" w:hAnsi="Arial" w:cs="Arial"/>
          <w:color w:val="000000" w:themeColor="text1"/>
          <w:kern w:val="24"/>
          <w:sz w:val="20"/>
          <w:lang w:eastAsia="en-GB"/>
        </w:rPr>
      </w:pPr>
    </w:p>
    <w:p w:rsidR="00BF6D94" w:rsidRPr="002A123D" w:rsidRDefault="00BF6D94" w:rsidP="00BF6D94">
      <w:pPr>
        <w:keepNext/>
        <w:tabs>
          <w:tab w:val="left" w:pos="3969"/>
        </w:tabs>
        <w:spacing w:before="60" w:line="240" w:lineRule="auto"/>
        <w:outlineLvl w:val="4"/>
        <w:rPr>
          <w:rFonts w:ascii="Arial" w:hAnsi="Arial" w:cs="Arial"/>
          <w:b/>
          <w:sz w:val="28"/>
          <w:szCs w:val="28"/>
        </w:rPr>
      </w:pPr>
      <w:r w:rsidRPr="002A123D">
        <w:rPr>
          <w:rFonts w:ascii="Arial" w:hAnsi="Arial" w:cs="Arial"/>
          <w:b/>
          <w:sz w:val="24"/>
          <w:szCs w:val="24"/>
        </w:rPr>
        <w:t>Explanation of significant variances in the</w:t>
      </w:r>
      <w:r>
        <w:rPr>
          <w:rFonts w:ascii="Arial" w:hAnsi="Arial" w:cs="Arial"/>
          <w:b/>
          <w:sz w:val="24"/>
          <w:szCs w:val="24"/>
        </w:rPr>
        <w:t xml:space="preserve"> accounting statements </w:t>
      </w:r>
    </w:p>
    <w:p w:rsidR="00BF6D94" w:rsidRPr="002D5069" w:rsidRDefault="00BF6D94" w:rsidP="00BF6D94">
      <w:pPr>
        <w:spacing w:line="240" w:lineRule="auto"/>
        <w:jc w:val="both"/>
        <w:rPr>
          <w:rFonts w:ascii="Arial" w:hAnsi="Arial" w:cs="Arial"/>
          <w:sz w:val="20"/>
        </w:rPr>
      </w:pPr>
    </w:p>
    <w:p w:rsidR="00BF6D94" w:rsidRPr="002D5069" w:rsidRDefault="00BF6D94" w:rsidP="00BF6D94">
      <w:pPr>
        <w:spacing w:line="240" w:lineRule="auto"/>
        <w:rPr>
          <w:rFonts w:ascii="Arial" w:hAnsi="Arial" w:cs="Arial"/>
          <w:sz w:val="20"/>
        </w:rPr>
      </w:pPr>
      <w:r>
        <w:rPr>
          <w:rFonts w:ascii="Arial" w:hAnsi="Arial" w:cs="Arial"/>
          <w:sz w:val="20"/>
        </w:rPr>
        <w:t>Parish Council</w:t>
      </w:r>
      <w:r w:rsidRPr="002D5069">
        <w:rPr>
          <w:rFonts w:ascii="Arial" w:hAnsi="Arial" w:cs="Arial"/>
          <w:sz w:val="20"/>
        </w:rPr>
        <w:t xml:space="preserve"> name:</w:t>
      </w:r>
      <w:r>
        <w:rPr>
          <w:rFonts w:ascii="Arial" w:hAnsi="Arial" w:cs="Arial"/>
          <w:sz w:val="20"/>
        </w:rPr>
        <w:t xml:space="preserve">  </w:t>
      </w:r>
      <w:proofErr w:type="spellStart"/>
      <w:r>
        <w:rPr>
          <w:rFonts w:ascii="Arial" w:hAnsi="Arial" w:cs="Arial"/>
          <w:sz w:val="20"/>
        </w:rPr>
        <w:t>HedleyHope</w:t>
      </w:r>
      <w:proofErr w:type="spellEnd"/>
      <w:r>
        <w:rPr>
          <w:rFonts w:ascii="Arial" w:hAnsi="Arial" w:cs="Arial"/>
          <w:sz w:val="20"/>
        </w:rPr>
        <w:t xml:space="preserve"> Parish Council</w:t>
      </w:r>
      <w:r w:rsidRPr="002D5069">
        <w:rPr>
          <w:rFonts w:ascii="Arial" w:hAnsi="Arial" w:cs="Arial"/>
          <w:sz w:val="20"/>
        </w:rPr>
        <w:t xml:space="preserve">      </w:t>
      </w:r>
    </w:p>
    <w:p w:rsidR="00BF6D94" w:rsidRPr="002A123D" w:rsidRDefault="00BF6D94" w:rsidP="00BF6D94">
      <w:pPr>
        <w:spacing w:line="240" w:lineRule="auto"/>
        <w:jc w:val="both"/>
        <w:rPr>
          <w:rFonts w:ascii="Arial" w:hAnsi="Arial" w:cs="Arial"/>
          <w:sz w:val="20"/>
        </w:rPr>
      </w:pPr>
    </w:p>
    <w:p w:rsidR="00BF6D94" w:rsidRPr="002A123D" w:rsidRDefault="00BF6D94" w:rsidP="00BF6D94">
      <w:pPr>
        <w:spacing w:line="240" w:lineRule="auto"/>
        <w:jc w:val="both"/>
        <w:rPr>
          <w:rFonts w:ascii="Arial" w:hAnsi="Arial" w:cs="Arial"/>
          <w:sz w:val="20"/>
        </w:rPr>
      </w:pPr>
      <w:r w:rsidRPr="004C1FDA">
        <w:rPr>
          <w:rFonts w:ascii="Arial" w:hAnsi="Arial" w:cs="Arial"/>
          <w:b/>
          <w:sz w:val="20"/>
        </w:rPr>
        <w:t>Please explain any variances of more than 15% between the totals for individual boxes in Section 2</w:t>
      </w:r>
      <w:r w:rsidRPr="002A123D">
        <w:rPr>
          <w:rFonts w:ascii="Arial" w:hAnsi="Arial" w:cs="Arial"/>
          <w:sz w:val="20"/>
        </w:rPr>
        <w:t>. We do not require explanation</w:t>
      </w:r>
      <w:r>
        <w:rPr>
          <w:rFonts w:ascii="Arial" w:hAnsi="Arial" w:cs="Arial"/>
          <w:sz w:val="20"/>
        </w:rPr>
        <w:t>s</w:t>
      </w:r>
      <w:r w:rsidRPr="002A123D">
        <w:rPr>
          <w:rFonts w:ascii="Arial" w:hAnsi="Arial" w:cs="Arial"/>
          <w:sz w:val="20"/>
        </w:rPr>
        <w:t xml:space="preserve"> for variances of less than £200; however, in some cases there may be ‘</w:t>
      </w:r>
      <w:r w:rsidRPr="004C1FDA">
        <w:rPr>
          <w:rFonts w:ascii="Arial" w:hAnsi="Arial" w:cs="Arial"/>
          <w:i/>
          <w:sz w:val="20"/>
        </w:rPr>
        <w:t>compensating</w:t>
      </w:r>
      <w:r w:rsidRPr="002A123D">
        <w:rPr>
          <w:rFonts w:ascii="Arial" w:hAnsi="Arial" w:cs="Arial"/>
          <w:sz w:val="20"/>
        </w:rPr>
        <w:t xml:space="preserve">’ variances which leave the overall total for a box relatively unchanged </w:t>
      </w:r>
      <w:r>
        <w:rPr>
          <w:rFonts w:ascii="Arial" w:hAnsi="Arial" w:cs="Arial"/>
          <w:sz w:val="20"/>
        </w:rPr>
        <w:t>–</w:t>
      </w:r>
      <w:r w:rsidRPr="002A123D">
        <w:rPr>
          <w:rFonts w:ascii="Arial" w:hAnsi="Arial" w:cs="Arial"/>
          <w:sz w:val="20"/>
        </w:rPr>
        <w:t xml:space="preserve"> </w:t>
      </w:r>
      <w:r>
        <w:rPr>
          <w:rFonts w:ascii="Arial" w:hAnsi="Arial" w:cs="Arial"/>
          <w:sz w:val="20"/>
        </w:rPr>
        <w:t xml:space="preserve">e.g. </w:t>
      </w:r>
      <w:r w:rsidRPr="002A123D">
        <w:rPr>
          <w:rFonts w:ascii="Arial" w:hAnsi="Arial" w:cs="Arial"/>
          <w:sz w:val="20"/>
        </w:rPr>
        <w:t xml:space="preserve">where there was a major one-off project in </w:t>
      </w:r>
      <w:r>
        <w:rPr>
          <w:rFonts w:ascii="Arial" w:hAnsi="Arial" w:cs="Arial"/>
          <w:sz w:val="20"/>
        </w:rPr>
        <w:t xml:space="preserve">one </w:t>
      </w:r>
      <w:r w:rsidRPr="002A123D">
        <w:rPr>
          <w:rFonts w:ascii="Arial" w:hAnsi="Arial" w:cs="Arial"/>
          <w:sz w:val="20"/>
        </w:rPr>
        <w:t xml:space="preserve">year (e.g. contribution to village hall extension of £30,000), but a totally different expense of a similar size in the </w:t>
      </w:r>
      <w:r>
        <w:rPr>
          <w:rFonts w:ascii="Arial" w:hAnsi="Arial" w:cs="Arial"/>
          <w:sz w:val="20"/>
        </w:rPr>
        <w:t>next</w:t>
      </w:r>
      <w:r w:rsidRPr="002A123D">
        <w:rPr>
          <w:rFonts w:ascii="Arial" w:hAnsi="Arial" w:cs="Arial"/>
          <w:sz w:val="20"/>
        </w:rPr>
        <w:t xml:space="preserve"> (e.g. purchase of playground equipment of £28,000). In such cases, </w:t>
      </w:r>
      <w:r>
        <w:rPr>
          <w:rFonts w:ascii="Arial" w:hAnsi="Arial" w:cs="Arial"/>
          <w:sz w:val="20"/>
        </w:rPr>
        <w:t>it would be helpful to</w:t>
      </w:r>
      <w:r w:rsidRPr="002A123D">
        <w:rPr>
          <w:rFonts w:ascii="Arial" w:hAnsi="Arial" w:cs="Arial"/>
          <w:sz w:val="20"/>
        </w:rPr>
        <w:t xml:space="preserve"> provide an explanation of movements within each box.  </w:t>
      </w:r>
      <w:r w:rsidRPr="000E0F6D">
        <w:rPr>
          <w:rFonts w:ascii="Arial" w:hAnsi="Arial" w:cs="Arial"/>
          <w:b/>
          <w:sz w:val="20"/>
        </w:rPr>
        <w:t>We also ask you to explain any change where there is a movement to or from zero</w:t>
      </w:r>
      <w:r w:rsidRPr="002A123D">
        <w:rPr>
          <w:rFonts w:ascii="Arial" w:hAnsi="Arial" w:cs="Arial"/>
          <w:sz w:val="20"/>
        </w:rPr>
        <w:t>.</w:t>
      </w:r>
      <w:r>
        <w:rPr>
          <w:rFonts w:ascii="Arial" w:hAnsi="Arial" w:cs="Arial"/>
          <w:sz w:val="20"/>
        </w:rPr>
        <w:t xml:space="preserve"> Please either use the </w:t>
      </w:r>
      <w:proofErr w:type="spellStart"/>
      <w:r>
        <w:rPr>
          <w:rFonts w:ascii="Arial" w:hAnsi="Arial" w:cs="Arial"/>
          <w:sz w:val="20"/>
        </w:rPr>
        <w:t>proforma</w:t>
      </w:r>
      <w:proofErr w:type="spellEnd"/>
      <w:r>
        <w:rPr>
          <w:rFonts w:ascii="Arial" w:hAnsi="Arial" w:cs="Arial"/>
          <w:sz w:val="20"/>
        </w:rPr>
        <w:t xml:space="preserve"> below, or complete a separate schedule if more space is required. </w:t>
      </w:r>
    </w:p>
    <w:p w:rsidR="00BF6D94" w:rsidRPr="002A123D" w:rsidRDefault="00BF6D94" w:rsidP="00BF6D94">
      <w:pPr>
        <w:spacing w:line="240" w:lineRule="auto"/>
        <w:jc w:val="both"/>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992"/>
        <w:gridCol w:w="992"/>
        <w:gridCol w:w="1134"/>
        <w:gridCol w:w="5245"/>
      </w:tblGrid>
      <w:tr w:rsidR="00BF6D94" w:rsidRPr="002A123D">
        <w:trPr>
          <w:trHeight w:val="529"/>
        </w:trPr>
        <w:tc>
          <w:tcPr>
            <w:tcW w:w="1101" w:type="dxa"/>
          </w:tcPr>
          <w:p w:rsidR="00BF6D94" w:rsidRPr="002A123D" w:rsidRDefault="00BF6D94" w:rsidP="001713B2">
            <w:pPr>
              <w:spacing w:line="240" w:lineRule="auto"/>
              <w:jc w:val="center"/>
              <w:rPr>
                <w:rFonts w:ascii="Arial" w:hAnsi="Arial" w:cs="Arial"/>
                <w:b/>
                <w:sz w:val="20"/>
              </w:rPr>
            </w:pPr>
            <w:r w:rsidRPr="002A123D">
              <w:rPr>
                <w:rFonts w:ascii="Arial" w:hAnsi="Arial" w:cs="Arial"/>
                <w:b/>
                <w:sz w:val="20"/>
              </w:rPr>
              <w:t xml:space="preserve">Section </w:t>
            </w:r>
            <w:r>
              <w:rPr>
                <w:rFonts w:ascii="Arial" w:hAnsi="Arial" w:cs="Arial"/>
                <w:b/>
                <w:sz w:val="20"/>
              </w:rPr>
              <w:t>2</w:t>
            </w:r>
          </w:p>
        </w:tc>
        <w:tc>
          <w:tcPr>
            <w:tcW w:w="992" w:type="dxa"/>
          </w:tcPr>
          <w:p w:rsidR="00BF6D94" w:rsidRPr="002A123D" w:rsidRDefault="00BF6D94" w:rsidP="001713B2">
            <w:pPr>
              <w:spacing w:line="240" w:lineRule="auto"/>
              <w:jc w:val="center"/>
              <w:rPr>
                <w:rFonts w:ascii="Arial" w:hAnsi="Arial" w:cs="Arial"/>
                <w:b/>
                <w:sz w:val="20"/>
              </w:rPr>
            </w:pPr>
            <w:r>
              <w:rPr>
                <w:rFonts w:ascii="Arial" w:hAnsi="Arial" w:cs="Arial"/>
                <w:b/>
                <w:sz w:val="20"/>
              </w:rPr>
              <w:t>2018/19</w:t>
            </w:r>
          </w:p>
          <w:p w:rsidR="00BF6D94" w:rsidRPr="002A123D" w:rsidRDefault="00BF6D94" w:rsidP="001713B2">
            <w:pPr>
              <w:spacing w:line="240" w:lineRule="auto"/>
              <w:jc w:val="center"/>
              <w:rPr>
                <w:rFonts w:ascii="Arial" w:hAnsi="Arial" w:cs="Arial"/>
                <w:b/>
                <w:sz w:val="20"/>
              </w:rPr>
            </w:pPr>
            <w:r w:rsidRPr="002A123D">
              <w:rPr>
                <w:rFonts w:ascii="Arial" w:hAnsi="Arial" w:cs="Arial"/>
                <w:b/>
                <w:sz w:val="20"/>
              </w:rPr>
              <w:t>£</w:t>
            </w:r>
          </w:p>
        </w:tc>
        <w:tc>
          <w:tcPr>
            <w:tcW w:w="992" w:type="dxa"/>
          </w:tcPr>
          <w:p w:rsidR="00BF6D94" w:rsidRPr="002A123D" w:rsidRDefault="00BF6D94" w:rsidP="001713B2">
            <w:pPr>
              <w:spacing w:line="240" w:lineRule="auto"/>
              <w:jc w:val="center"/>
              <w:rPr>
                <w:rFonts w:ascii="Arial" w:hAnsi="Arial" w:cs="Arial"/>
                <w:b/>
                <w:sz w:val="20"/>
              </w:rPr>
            </w:pPr>
            <w:r>
              <w:rPr>
                <w:rFonts w:ascii="Arial" w:hAnsi="Arial" w:cs="Arial"/>
                <w:b/>
                <w:sz w:val="20"/>
              </w:rPr>
              <w:t>2019/20</w:t>
            </w:r>
            <w:r w:rsidRPr="002A123D">
              <w:rPr>
                <w:rFonts w:ascii="Arial" w:hAnsi="Arial" w:cs="Arial"/>
                <w:b/>
                <w:sz w:val="20"/>
              </w:rPr>
              <w:t>£</w:t>
            </w:r>
          </w:p>
        </w:tc>
        <w:tc>
          <w:tcPr>
            <w:tcW w:w="1134" w:type="dxa"/>
          </w:tcPr>
          <w:p w:rsidR="00BF6D94" w:rsidRPr="002A123D" w:rsidRDefault="00BF6D94" w:rsidP="001713B2">
            <w:pPr>
              <w:spacing w:line="240" w:lineRule="auto"/>
              <w:jc w:val="both"/>
              <w:rPr>
                <w:rFonts w:ascii="Arial" w:hAnsi="Arial" w:cs="Arial"/>
                <w:b/>
                <w:sz w:val="20"/>
              </w:rPr>
            </w:pPr>
            <w:r w:rsidRPr="002A123D">
              <w:rPr>
                <w:rFonts w:ascii="Arial" w:hAnsi="Arial" w:cs="Arial"/>
                <w:b/>
                <w:sz w:val="20"/>
              </w:rPr>
              <w:t>Variance (+/-) £</w:t>
            </w:r>
          </w:p>
        </w:tc>
        <w:tc>
          <w:tcPr>
            <w:tcW w:w="5245" w:type="dxa"/>
          </w:tcPr>
          <w:p w:rsidR="00BF6D94" w:rsidRPr="002A123D" w:rsidRDefault="00BF6D94" w:rsidP="001713B2">
            <w:pPr>
              <w:spacing w:line="240" w:lineRule="auto"/>
              <w:jc w:val="both"/>
              <w:rPr>
                <w:rFonts w:ascii="Arial" w:hAnsi="Arial" w:cs="Arial"/>
                <w:b/>
                <w:sz w:val="20"/>
              </w:rPr>
            </w:pPr>
            <w:r w:rsidRPr="002A123D">
              <w:rPr>
                <w:rFonts w:ascii="Arial" w:hAnsi="Arial" w:cs="Arial"/>
                <w:b/>
                <w:sz w:val="20"/>
              </w:rPr>
              <w:t xml:space="preserve">Detailed explanation of variance </w:t>
            </w:r>
          </w:p>
          <w:p w:rsidR="00BF6D94" w:rsidRPr="002A123D" w:rsidRDefault="00BF6D94" w:rsidP="001713B2">
            <w:pPr>
              <w:spacing w:line="240" w:lineRule="auto"/>
              <w:jc w:val="both"/>
              <w:rPr>
                <w:rFonts w:ascii="Arial" w:hAnsi="Arial" w:cs="Arial"/>
                <w:b/>
                <w:sz w:val="20"/>
              </w:rPr>
            </w:pPr>
            <w:r w:rsidRPr="002A123D">
              <w:rPr>
                <w:rFonts w:ascii="Arial" w:hAnsi="Arial" w:cs="Arial"/>
                <w:b/>
                <w:sz w:val="20"/>
              </w:rPr>
              <w:t>(</w:t>
            </w:r>
            <w:proofErr w:type="gramStart"/>
            <w:r>
              <w:rPr>
                <w:rFonts w:ascii="Arial" w:hAnsi="Arial" w:cs="Arial"/>
                <w:b/>
                <w:sz w:val="20"/>
              </w:rPr>
              <w:t>for</w:t>
            </w:r>
            <w:proofErr w:type="gramEnd"/>
            <w:r>
              <w:rPr>
                <w:rFonts w:ascii="Arial" w:hAnsi="Arial" w:cs="Arial"/>
                <w:b/>
                <w:sz w:val="20"/>
              </w:rPr>
              <w:t xml:space="preserve"> each reason noted please include monetary values</w:t>
            </w:r>
            <w:r w:rsidRPr="002A123D">
              <w:rPr>
                <w:rFonts w:ascii="Arial" w:hAnsi="Arial" w:cs="Arial"/>
                <w:b/>
                <w:sz w:val="20"/>
              </w:rPr>
              <w:t xml:space="preserve"> </w:t>
            </w:r>
            <w:r>
              <w:rPr>
                <w:rFonts w:ascii="Arial" w:hAnsi="Arial" w:cs="Arial"/>
                <w:b/>
                <w:sz w:val="20"/>
              </w:rPr>
              <w:t xml:space="preserve">(to nearest </w:t>
            </w:r>
            <w:r w:rsidRPr="002A123D">
              <w:rPr>
                <w:rFonts w:ascii="Arial" w:hAnsi="Arial" w:cs="Arial"/>
                <w:b/>
                <w:sz w:val="20"/>
              </w:rPr>
              <w:t>£</w:t>
            </w:r>
            <w:r>
              <w:rPr>
                <w:rFonts w:ascii="Arial" w:hAnsi="Arial" w:cs="Arial"/>
                <w:b/>
                <w:sz w:val="20"/>
              </w:rPr>
              <w:t>10</w:t>
            </w:r>
            <w:r w:rsidRPr="002A123D">
              <w:rPr>
                <w:rFonts w:ascii="Arial" w:hAnsi="Arial" w:cs="Arial"/>
                <w:b/>
                <w:sz w:val="20"/>
              </w:rPr>
              <w:t>)</w:t>
            </w:r>
          </w:p>
        </w:tc>
      </w:tr>
      <w:tr w:rsidR="00BF6D94" w:rsidRPr="002A123D">
        <w:trPr>
          <w:trHeight w:val="1125"/>
        </w:trPr>
        <w:tc>
          <w:tcPr>
            <w:tcW w:w="1101" w:type="dxa"/>
          </w:tcPr>
          <w:p w:rsidR="00BF6D94" w:rsidRPr="002A123D" w:rsidRDefault="00BF6D94" w:rsidP="001713B2">
            <w:pPr>
              <w:spacing w:line="240" w:lineRule="auto"/>
              <w:jc w:val="center"/>
              <w:rPr>
                <w:rFonts w:ascii="Arial" w:hAnsi="Arial" w:cs="Arial"/>
                <w:b/>
                <w:sz w:val="20"/>
              </w:rPr>
            </w:pPr>
            <w:r w:rsidRPr="002A123D">
              <w:rPr>
                <w:rFonts w:ascii="Arial" w:hAnsi="Arial" w:cs="Arial"/>
                <w:b/>
                <w:sz w:val="20"/>
              </w:rPr>
              <w:t>Box 2</w:t>
            </w:r>
          </w:p>
          <w:p w:rsidR="00BF6D94" w:rsidRPr="002A123D" w:rsidRDefault="00BF6D94" w:rsidP="001713B2">
            <w:pPr>
              <w:spacing w:line="240" w:lineRule="auto"/>
              <w:jc w:val="center"/>
              <w:rPr>
                <w:rFonts w:ascii="Arial" w:hAnsi="Arial" w:cs="Arial"/>
                <w:i/>
                <w:sz w:val="20"/>
              </w:rPr>
            </w:pPr>
            <w:r w:rsidRPr="002A123D">
              <w:rPr>
                <w:rFonts w:ascii="Arial" w:hAnsi="Arial" w:cs="Arial"/>
                <w:i/>
                <w:sz w:val="20"/>
              </w:rPr>
              <w:t>Precept</w:t>
            </w:r>
          </w:p>
        </w:tc>
        <w:tc>
          <w:tcPr>
            <w:tcW w:w="992" w:type="dxa"/>
          </w:tcPr>
          <w:p w:rsidR="00BF6D94" w:rsidRDefault="00BF6D94" w:rsidP="001713B2">
            <w:pPr>
              <w:spacing w:line="240" w:lineRule="auto"/>
              <w:jc w:val="both"/>
              <w:rPr>
                <w:rFonts w:ascii="Arial" w:hAnsi="Arial" w:cs="Arial"/>
                <w:sz w:val="20"/>
              </w:rPr>
            </w:pPr>
          </w:p>
          <w:p w:rsidR="00BF6D94"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r>
              <w:rPr>
                <w:rFonts w:ascii="Arial" w:hAnsi="Arial" w:cs="Arial"/>
                <w:sz w:val="20"/>
              </w:rPr>
              <w:t>4602.53</w:t>
            </w:r>
          </w:p>
        </w:tc>
        <w:tc>
          <w:tcPr>
            <w:tcW w:w="992" w:type="dxa"/>
          </w:tcPr>
          <w:p w:rsidR="00BF6D94" w:rsidRDefault="00BF6D94" w:rsidP="001713B2">
            <w:pPr>
              <w:spacing w:line="240" w:lineRule="auto"/>
              <w:jc w:val="both"/>
              <w:rPr>
                <w:rFonts w:ascii="Arial" w:hAnsi="Arial" w:cs="Arial"/>
                <w:sz w:val="20"/>
              </w:rPr>
            </w:pPr>
          </w:p>
          <w:p w:rsidR="00BF6D94"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r>
              <w:rPr>
                <w:rFonts w:ascii="Arial" w:hAnsi="Arial" w:cs="Arial"/>
                <w:sz w:val="20"/>
              </w:rPr>
              <w:t>4826.80</w:t>
            </w:r>
          </w:p>
        </w:tc>
        <w:tc>
          <w:tcPr>
            <w:tcW w:w="1134" w:type="dxa"/>
          </w:tcPr>
          <w:p w:rsidR="00BF6D94" w:rsidRDefault="00BF6D94" w:rsidP="001713B2">
            <w:pPr>
              <w:spacing w:line="240" w:lineRule="auto"/>
              <w:jc w:val="both"/>
              <w:rPr>
                <w:rFonts w:ascii="Arial" w:hAnsi="Arial" w:cs="Arial"/>
                <w:sz w:val="20"/>
              </w:rPr>
            </w:pPr>
          </w:p>
          <w:p w:rsidR="00BF6D94"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r>
              <w:rPr>
                <w:rFonts w:ascii="Arial" w:hAnsi="Arial" w:cs="Arial"/>
                <w:sz w:val="20"/>
              </w:rPr>
              <w:t>+224.27</w:t>
            </w:r>
          </w:p>
        </w:tc>
        <w:tc>
          <w:tcPr>
            <w:tcW w:w="5245" w:type="dxa"/>
          </w:tcPr>
          <w:p w:rsidR="00BF6D94" w:rsidRPr="002A123D"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p>
        </w:tc>
      </w:tr>
      <w:tr w:rsidR="00BF6D94" w:rsidRPr="002A123D">
        <w:trPr>
          <w:trHeight w:val="1125"/>
        </w:trPr>
        <w:tc>
          <w:tcPr>
            <w:tcW w:w="1101" w:type="dxa"/>
          </w:tcPr>
          <w:p w:rsidR="00BF6D94" w:rsidRPr="002A123D" w:rsidRDefault="00BF6D94" w:rsidP="001713B2">
            <w:pPr>
              <w:spacing w:line="240" w:lineRule="auto"/>
              <w:jc w:val="center"/>
              <w:rPr>
                <w:rFonts w:ascii="Arial" w:hAnsi="Arial" w:cs="Arial"/>
                <w:b/>
                <w:sz w:val="20"/>
              </w:rPr>
            </w:pPr>
            <w:r w:rsidRPr="002A123D">
              <w:rPr>
                <w:rFonts w:ascii="Arial" w:hAnsi="Arial" w:cs="Arial"/>
                <w:b/>
                <w:sz w:val="20"/>
              </w:rPr>
              <w:t>Box 3</w:t>
            </w:r>
          </w:p>
          <w:p w:rsidR="00BF6D94" w:rsidRPr="002A123D" w:rsidRDefault="00BF6D94" w:rsidP="001713B2">
            <w:pPr>
              <w:spacing w:line="240" w:lineRule="auto"/>
              <w:jc w:val="center"/>
              <w:rPr>
                <w:rFonts w:ascii="Arial" w:hAnsi="Arial" w:cs="Arial"/>
                <w:i/>
                <w:sz w:val="20"/>
              </w:rPr>
            </w:pPr>
            <w:r w:rsidRPr="002A123D">
              <w:rPr>
                <w:rFonts w:ascii="Arial" w:hAnsi="Arial" w:cs="Arial"/>
                <w:i/>
                <w:sz w:val="20"/>
              </w:rPr>
              <w:t>Other income</w:t>
            </w:r>
          </w:p>
          <w:p w:rsidR="00BF6D94" w:rsidRPr="002A123D" w:rsidRDefault="00BF6D94" w:rsidP="001713B2">
            <w:pPr>
              <w:spacing w:line="240" w:lineRule="auto"/>
              <w:jc w:val="center"/>
              <w:rPr>
                <w:rFonts w:ascii="Arial" w:hAnsi="Arial" w:cs="Arial"/>
                <w:sz w:val="20"/>
              </w:rPr>
            </w:pPr>
          </w:p>
        </w:tc>
        <w:tc>
          <w:tcPr>
            <w:tcW w:w="992" w:type="dxa"/>
          </w:tcPr>
          <w:p w:rsidR="00BF6D94" w:rsidRPr="002A123D"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r>
              <w:rPr>
                <w:rFonts w:ascii="Arial" w:hAnsi="Arial" w:cs="Arial"/>
                <w:sz w:val="20"/>
              </w:rPr>
              <w:t>3239.25</w:t>
            </w:r>
          </w:p>
        </w:tc>
        <w:tc>
          <w:tcPr>
            <w:tcW w:w="992" w:type="dxa"/>
          </w:tcPr>
          <w:p w:rsidR="00BF6D94" w:rsidRDefault="00BF6D94" w:rsidP="001713B2">
            <w:pPr>
              <w:spacing w:line="240" w:lineRule="auto"/>
              <w:jc w:val="both"/>
              <w:rPr>
                <w:rFonts w:ascii="Arial" w:hAnsi="Arial" w:cs="Arial"/>
                <w:sz w:val="20"/>
              </w:rPr>
            </w:pPr>
          </w:p>
          <w:p w:rsidR="00BF6D94"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r>
              <w:rPr>
                <w:rFonts w:ascii="Arial" w:hAnsi="Arial" w:cs="Arial"/>
                <w:sz w:val="20"/>
              </w:rPr>
              <w:t>2554.62</w:t>
            </w:r>
          </w:p>
        </w:tc>
        <w:tc>
          <w:tcPr>
            <w:tcW w:w="1134" w:type="dxa"/>
          </w:tcPr>
          <w:p w:rsidR="00BF6D94" w:rsidRDefault="00BF6D94" w:rsidP="001713B2">
            <w:pPr>
              <w:spacing w:line="240" w:lineRule="auto"/>
              <w:jc w:val="both"/>
              <w:rPr>
                <w:rFonts w:ascii="Arial" w:hAnsi="Arial" w:cs="Arial"/>
                <w:sz w:val="20"/>
              </w:rPr>
            </w:pPr>
          </w:p>
          <w:p w:rsidR="00BF6D94"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r>
              <w:rPr>
                <w:rFonts w:ascii="Arial" w:hAnsi="Arial" w:cs="Arial"/>
                <w:sz w:val="20"/>
              </w:rPr>
              <w:t>-684.63</w:t>
            </w:r>
          </w:p>
        </w:tc>
        <w:tc>
          <w:tcPr>
            <w:tcW w:w="5245" w:type="dxa"/>
          </w:tcPr>
          <w:p w:rsidR="00BF6D94" w:rsidRPr="002A123D"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r>
              <w:rPr>
                <w:rFonts w:ascii="Arial" w:hAnsi="Arial" w:cs="Arial"/>
                <w:sz w:val="20"/>
              </w:rPr>
              <w:t>There were fewer hall bookings during this financial year</w:t>
            </w:r>
          </w:p>
          <w:p w:rsidR="00BF6D94" w:rsidRPr="002A123D" w:rsidRDefault="00BF6D94" w:rsidP="001713B2">
            <w:pPr>
              <w:spacing w:line="240" w:lineRule="auto"/>
              <w:jc w:val="both"/>
              <w:rPr>
                <w:rFonts w:ascii="Arial" w:hAnsi="Arial" w:cs="Arial"/>
                <w:sz w:val="20"/>
              </w:rPr>
            </w:pPr>
          </w:p>
        </w:tc>
      </w:tr>
      <w:tr w:rsidR="00BF6D94" w:rsidRPr="002A123D">
        <w:trPr>
          <w:trHeight w:val="1125"/>
        </w:trPr>
        <w:tc>
          <w:tcPr>
            <w:tcW w:w="1101" w:type="dxa"/>
          </w:tcPr>
          <w:p w:rsidR="00BF6D94" w:rsidRPr="002A123D" w:rsidRDefault="00BF6D94" w:rsidP="001713B2">
            <w:pPr>
              <w:spacing w:line="240" w:lineRule="auto"/>
              <w:jc w:val="center"/>
              <w:rPr>
                <w:rFonts w:ascii="Arial" w:hAnsi="Arial" w:cs="Arial"/>
                <w:b/>
                <w:sz w:val="20"/>
              </w:rPr>
            </w:pPr>
            <w:r w:rsidRPr="002A123D">
              <w:rPr>
                <w:rFonts w:ascii="Arial" w:hAnsi="Arial" w:cs="Arial"/>
                <w:b/>
                <w:sz w:val="20"/>
              </w:rPr>
              <w:t>Box 4</w:t>
            </w:r>
          </w:p>
          <w:p w:rsidR="00BF6D94" w:rsidRPr="002A123D" w:rsidRDefault="00BF6D94" w:rsidP="001713B2">
            <w:pPr>
              <w:spacing w:line="240" w:lineRule="auto"/>
              <w:jc w:val="center"/>
              <w:rPr>
                <w:rFonts w:ascii="Arial" w:hAnsi="Arial" w:cs="Arial"/>
                <w:i/>
                <w:sz w:val="20"/>
              </w:rPr>
            </w:pPr>
            <w:r w:rsidRPr="002A123D">
              <w:rPr>
                <w:rFonts w:ascii="Arial" w:hAnsi="Arial" w:cs="Arial"/>
                <w:i/>
                <w:sz w:val="20"/>
              </w:rPr>
              <w:t>Staff costs</w:t>
            </w:r>
          </w:p>
        </w:tc>
        <w:tc>
          <w:tcPr>
            <w:tcW w:w="992" w:type="dxa"/>
          </w:tcPr>
          <w:p w:rsidR="00BF6D94" w:rsidRPr="002A123D"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r>
              <w:rPr>
                <w:rFonts w:ascii="Arial" w:hAnsi="Arial" w:cs="Arial"/>
                <w:sz w:val="20"/>
              </w:rPr>
              <w:t>3781.55</w:t>
            </w:r>
          </w:p>
        </w:tc>
        <w:tc>
          <w:tcPr>
            <w:tcW w:w="992" w:type="dxa"/>
          </w:tcPr>
          <w:p w:rsidR="00BF6D94" w:rsidRDefault="00BF6D94" w:rsidP="001713B2">
            <w:pPr>
              <w:spacing w:line="240" w:lineRule="auto"/>
              <w:jc w:val="both"/>
              <w:rPr>
                <w:rFonts w:ascii="Arial" w:hAnsi="Arial" w:cs="Arial"/>
                <w:sz w:val="20"/>
              </w:rPr>
            </w:pPr>
          </w:p>
          <w:p w:rsidR="00BF6D94"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r>
              <w:rPr>
                <w:rFonts w:ascii="Arial" w:hAnsi="Arial" w:cs="Arial"/>
                <w:sz w:val="20"/>
              </w:rPr>
              <w:t>3410.52</w:t>
            </w:r>
          </w:p>
        </w:tc>
        <w:tc>
          <w:tcPr>
            <w:tcW w:w="1134" w:type="dxa"/>
          </w:tcPr>
          <w:p w:rsidR="00BF6D94" w:rsidRDefault="00BF6D94" w:rsidP="001713B2">
            <w:pPr>
              <w:spacing w:line="240" w:lineRule="auto"/>
              <w:jc w:val="both"/>
              <w:rPr>
                <w:rFonts w:ascii="Arial" w:hAnsi="Arial" w:cs="Arial"/>
                <w:sz w:val="20"/>
              </w:rPr>
            </w:pPr>
          </w:p>
          <w:p w:rsidR="00BF6D94"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r>
              <w:rPr>
                <w:rFonts w:ascii="Arial" w:hAnsi="Arial" w:cs="Arial"/>
                <w:sz w:val="20"/>
              </w:rPr>
              <w:t>-371.03</w:t>
            </w:r>
          </w:p>
        </w:tc>
        <w:tc>
          <w:tcPr>
            <w:tcW w:w="5245" w:type="dxa"/>
          </w:tcPr>
          <w:p w:rsidR="00BF6D94" w:rsidRPr="002A123D"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r>
              <w:rPr>
                <w:rFonts w:ascii="Arial" w:hAnsi="Arial" w:cs="Arial"/>
                <w:sz w:val="20"/>
              </w:rPr>
              <w:t xml:space="preserve">New Clerk in place from 1.10.19 and currently not part of the NEST </w:t>
            </w:r>
            <w:proofErr w:type="gramStart"/>
            <w:r>
              <w:rPr>
                <w:rFonts w:ascii="Arial" w:hAnsi="Arial" w:cs="Arial"/>
                <w:sz w:val="20"/>
              </w:rPr>
              <w:t>Scheme which has reduced staff</w:t>
            </w:r>
            <w:proofErr w:type="gramEnd"/>
            <w:r>
              <w:rPr>
                <w:rFonts w:ascii="Arial" w:hAnsi="Arial" w:cs="Arial"/>
                <w:sz w:val="20"/>
              </w:rPr>
              <w:t xml:space="preserve"> costs this year.</w:t>
            </w:r>
          </w:p>
        </w:tc>
      </w:tr>
      <w:tr w:rsidR="00BF6D94" w:rsidRPr="002A123D">
        <w:trPr>
          <w:trHeight w:val="1125"/>
        </w:trPr>
        <w:tc>
          <w:tcPr>
            <w:tcW w:w="1101" w:type="dxa"/>
          </w:tcPr>
          <w:p w:rsidR="00BF6D94" w:rsidRPr="002A123D" w:rsidRDefault="00BF6D94" w:rsidP="001713B2">
            <w:pPr>
              <w:spacing w:line="240" w:lineRule="auto"/>
              <w:jc w:val="center"/>
              <w:rPr>
                <w:rFonts w:ascii="Arial" w:hAnsi="Arial" w:cs="Arial"/>
                <w:b/>
                <w:sz w:val="20"/>
              </w:rPr>
            </w:pPr>
            <w:r w:rsidRPr="002A123D">
              <w:rPr>
                <w:rFonts w:ascii="Arial" w:hAnsi="Arial" w:cs="Arial"/>
                <w:b/>
                <w:sz w:val="20"/>
              </w:rPr>
              <w:t>Box 5</w:t>
            </w:r>
          </w:p>
          <w:p w:rsidR="00BF6D94" w:rsidRPr="002A123D" w:rsidRDefault="00BF6D94" w:rsidP="001713B2">
            <w:pPr>
              <w:spacing w:line="240" w:lineRule="auto"/>
              <w:jc w:val="center"/>
              <w:rPr>
                <w:rFonts w:ascii="Arial" w:hAnsi="Arial" w:cs="Arial"/>
                <w:i/>
                <w:sz w:val="20"/>
              </w:rPr>
            </w:pPr>
            <w:r w:rsidRPr="002A123D">
              <w:rPr>
                <w:rFonts w:ascii="Arial" w:hAnsi="Arial" w:cs="Arial"/>
                <w:i/>
                <w:sz w:val="20"/>
              </w:rPr>
              <w:t>Loan interest/ capital</w:t>
            </w:r>
          </w:p>
        </w:tc>
        <w:tc>
          <w:tcPr>
            <w:tcW w:w="992" w:type="dxa"/>
          </w:tcPr>
          <w:p w:rsidR="00BF6D94" w:rsidRPr="002A123D"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r>
              <w:rPr>
                <w:rFonts w:ascii="Arial" w:hAnsi="Arial" w:cs="Arial"/>
                <w:sz w:val="20"/>
              </w:rPr>
              <w:t>Nil</w:t>
            </w:r>
          </w:p>
        </w:tc>
        <w:tc>
          <w:tcPr>
            <w:tcW w:w="992" w:type="dxa"/>
          </w:tcPr>
          <w:p w:rsidR="00BF6D94" w:rsidRDefault="00BF6D94" w:rsidP="001713B2">
            <w:pPr>
              <w:spacing w:line="240" w:lineRule="auto"/>
              <w:jc w:val="both"/>
              <w:rPr>
                <w:rFonts w:ascii="Arial" w:hAnsi="Arial" w:cs="Arial"/>
                <w:sz w:val="20"/>
              </w:rPr>
            </w:pPr>
          </w:p>
          <w:p w:rsidR="00BF6D94"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r>
              <w:rPr>
                <w:rFonts w:ascii="Arial" w:hAnsi="Arial" w:cs="Arial"/>
                <w:sz w:val="20"/>
              </w:rPr>
              <w:t>Nil</w:t>
            </w:r>
          </w:p>
        </w:tc>
        <w:tc>
          <w:tcPr>
            <w:tcW w:w="1134" w:type="dxa"/>
          </w:tcPr>
          <w:p w:rsidR="00BF6D94" w:rsidRDefault="00BF6D94" w:rsidP="001713B2">
            <w:pPr>
              <w:spacing w:line="240" w:lineRule="auto"/>
              <w:jc w:val="both"/>
              <w:rPr>
                <w:rFonts w:ascii="Arial" w:hAnsi="Arial" w:cs="Arial"/>
                <w:sz w:val="20"/>
              </w:rPr>
            </w:pPr>
          </w:p>
          <w:p w:rsidR="00BF6D94"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r>
              <w:rPr>
                <w:rFonts w:ascii="Arial" w:hAnsi="Arial" w:cs="Arial"/>
                <w:sz w:val="20"/>
              </w:rPr>
              <w:t>Nil</w:t>
            </w:r>
          </w:p>
        </w:tc>
        <w:tc>
          <w:tcPr>
            <w:tcW w:w="5245" w:type="dxa"/>
          </w:tcPr>
          <w:p w:rsidR="00BF6D94" w:rsidRPr="002A123D"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p>
        </w:tc>
      </w:tr>
      <w:tr w:rsidR="00BF6D94" w:rsidRPr="002A123D">
        <w:trPr>
          <w:trHeight w:val="1125"/>
        </w:trPr>
        <w:tc>
          <w:tcPr>
            <w:tcW w:w="1101" w:type="dxa"/>
            <w:tcBorders>
              <w:bottom w:val="single" w:sz="4" w:space="0" w:color="auto"/>
            </w:tcBorders>
          </w:tcPr>
          <w:p w:rsidR="00BF6D94" w:rsidRPr="002A123D" w:rsidRDefault="00BF6D94" w:rsidP="001713B2">
            <w:pPr>
              <w:spacing w:line="240" w:lineRule="auto"/>
              <w:jc w:val="center"/>
              <w:rPr>
                <w:rFonts w:ascii="Arial" w:hAnsi="Arial" w:cs="Arial"/>
                <w:b/>
                <w:sz w:val="20"/>
              </w:rPr>
            </w:pPr>
            <w:r w:rsidRPr="002A123D">
              <w:rPr>
                <w:rFonts w:ascii="Arial" w:hAnsi="Arial" w:cs="Arial"/>
                <w:b/>
                <w:sz w:val="20"/>
              </w:rPr>
              <w:t>Box 6</w:t>
            </w:r>
          </w:p>
          <w:p w:rsidR="00BF6D94" w:rsidRPr="002A123D" w:rsidRDefault="00BF6D94" w:rsidP="001713B2">
            <w:pPr>
              <w:spacing w:line="240" w:lineRule="auto"/>
              <w:jc w:val="center"/>
              <w:rPr>
                <w:rFonts w:ascii="Arial" w:hAnsi="Arial" w:cs="Arial"/>
                <w:i/>
                <w:sz w:val="20"/>
              </w:rPr>
            </w:pPr>
            <w:r w:rsidRPr="002A123D">
              <w:rPr>
                <w:rFonts w:ascii="Arial" w:hAnsi="Arial" w:cs="Arial"/>
                <w:i/>
                <w:sz w:val="20"/>
              </w:rPr>
              <w:t>Other payments</w:t>
            </w:r>
          </w:p>
        </w:tc>
        <w:tc>
          <w:tcPr>
            <w:tcW w:w="992" w:type="dxa"/>
            <w:tcBorders>
              <w:bottom w:val="single" w:sz="4" w:space="0" w:color="auto"/>
            </w:tcBorders>
          </w:tcPr>
          <w:p w:rsidR="00BF6D94" w:rsidRPr="002A123D"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r>
              <w:rPr>
                <w:rFonts w:ascii="Arial" w:hAnsi="Arial" w:cs="Arial"/>
                <w:sz w:val="20"/>
              </w:rPr>
              <w:t>6975.54</w:t>
            </w:r>
          </w:p>
        </w:tc>
        <w:tc>
          <w:tcPr>
            <w:tcW w:w="992" w:type="dxa"/>
            <w:tcBorders>
              <w:bottom w:val="single" w:sz="4" w:space="0" w:color="auto"/>
            </w:tcBorders>
          </w:tcPr>
          <w:p w:rsidR="00BF6D94" w:rsidRDefault="00BF6D94" w:rsidP="001713B2">
            <w:pPr>
              <w:spacing w:line="240" w:lineRule="auto"/>
              <w:jc w:val="both"/>
              <w:rPr>
                <w:rFonts w:ascii="Arial" w:hAnsi="Arial" w:cs="Arial"/>
                <w:sz w:val="20"/>
              </w:rPr>
            </w:pPr>
          </w:p>
          <w:p w:rsidR="00BF6D94"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r>
              <w:rPr>
                <w:rFonts w:ascii="Arial" w:hAnsi="Arial" w:cs="Arial"/>
                <w:sz w:val="20"/>
              </w:rPr>
              <w:t>3131.81</w:t>
            </w:r>
          </w:p>
        </w:tc>
        <w:tc>
          <w:tcPr>
            <w:tcW w:w="1134" w:type="dxa"/>
            <w:tcBorders>
              <w:bottom w:val="single" w:sz="4" w:space="0" w:color="auto"/>
            </w:tcBorders>
          </w:tcPr>
          <w:p w:rsidR="00BF6D94" w:rsidRDefault="00BF6D94" w:rsidP="001713B2">
            <w:pPr>
              <w:spacing w:line="240" w:lineRule="auto"/>
              <w:jc w:val="both"/>
              <w:rPr>
                <w:rFonts w:ascii="Arial" w:hAnsi="Arial" w:cs="Arial"/>
                <w:sz w:val="20"/>
              </w:rPr>
            </w:pPr>
          </w:p>
          <w:p w:rsidR="00BF6D94"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r>
              <w:rPr>
                <w:rFonts w:ascii="Arial" w:hAnsi="Arial" w:cs="Arial"/>
                <w:sz w:val="20"/>
              </w:rPr>
              <w:t>- 3843.73</w:t>
            </w:r>
          </w:p>
        </w:tc>
        <w:tc>
          <w:tcPr>
            <w:tcW w:w="5245" w:type="dxa"/>
            <w:tcBorders>
              <w:bottom w:val="single" w:sz="4" w:space="0" w:color="auto"/>
            </w:tcBorders>
          </w:tcPr>
          <w:p w:rsidR="00BF6D94" w:rsidRPr="002A123D" w:rsidRDefault="00BF6D94" w:rsidP="001713B2">
            <w:pPr>
              <w:spacing w:line="240" w:lineRule="auto"/>
              <w:jc w:val="both"/>
              <w:rPr>
                <w:rFonts w:ascii="Arial" w:hAnsi="Arial" w:cs="Arial"/>
                <w:sz w:val="20"/>
              </w:rPr>
            </w:pPr>
            <w:r>
              <w:rPr>
                <w:rFonts w:ascii="Arial" w:hAnsi="Arial" w:cs="Arial"/>
                <w:sz w:val="20"/>
              </w:rPr>
              <w:t>Last year there was investment in the village hall and the grounds around the village. This financial year has been more prudent with outgoings as the Parish Council review their funding priorities in readiness for 2020 onwards.</w:t>
            </w:r>
          </w:p>
        </w:tc>
      </w:tr>
      <w:tr w:rsidR="00BF6D94" w:rsidRPr="002A123D">
        <w:trPr>
          <w:trHeight w:val="1125"/>
        </w:trPr>
        <w:tc>
          <w:tcPr>
            <w:tcW w:w="1101" w:type="dxa"/>
          </w:tcPr>
          <w:p w:rsidR="00BF6D94" w:rsidRPr="002A123D" w:rsidRDefault="00BF6D94" w:rsidP="001713B2">
            <w:pPr>
              <w:spacing w:line="240" w:lineRule="auto"/>
              <w:jc w:val="center"/>
              <w:rPr>
                <w:rFonts w:ascii="Arial" w:hAnsi="Arial" w:cs="Arial"/>
                <w:b/>
                <w:sz w:val="20"/>
              </w:rPr>
            </w:pPr>
            <w:r w:rsidRPr="002A123D">
              <w:rPr>
                <w:rFonts w:ascii="Arial" w:hAnsi="Arial" w:cs="Arial"/>
                <w:b/>
                <w:sz w:val="20"/>
              </w:rPr>
              <w:t>Box 7</w:t>
            </w:r>
          </w:p>
          <w:p w:rsidR="00BF6D94" w:rsidRPr="002A123D" w:rsidRDefault="00BF6D94" w:rsidP="001713B2">
            <w:pPr>
              <w:spacing w:line="240" w:lineRule="auto"/>
              <w:jc w:val="center"/>
              <w:rPr>
                <w:rFonts w:ascii="Arial" w:hAnsi="Arial" w:cs="Arial"/>
                <w:b/>
                <w:sz w:val="20"/>
              </w:rPr>
            </w:pPr>
            <w:r w:rsidRPr="002A123D">
              <w:rPr>
                <w:rFonts w:ascii="Arial" w:hAnsi="Arial" w:cs="Arial"/>
                <w:i/>
                <w:sz w:val="20"/>
              </w:rPr>
              <w:t>Balances carried forward</w:t>
            </w:r>
          </w:p>
        </w:tc>
        <w:tc>
          <w:tcPr>
            <w:tcW w:w="992" w:type="dxa"/>
          </w:tcPr>
          <w:p w:rsidR="00BF6D94" w:rsidRDefault="00BF6D94" w:rsidP="001713B2">
            <w:pPr>
              <w:spacing w:line="240" w:lineRule="auto"/>
              <w:jc w:val="both"/>
              <w:rPr>
                <w:rFonts w:ascii="Arial" w:hAnsi="Arial" w:cs="Arial"/>
                <w:sz w:val="20"/>
              </w:rPr>
            </w:pPr>
          </w:p>
          <w:p w:rsidR="00BF6D94"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r>
              <w:rPr>
                <w:rFonts w:ascii="Arial" w:hAnsi="Arial" w:cs="Arial"/>
                <w:sz w:val="20"/>
              </w:rPr>
              <w:t>5431.29</w:t>
            </w:r>
          </w:p>
        </w:tc>
        <w:tc>
          <w:tcPr>
            <w:tcW w:w="992" w:type="dxa"/>
          </w:tcPr>
          <w:p w:rsidR="00BF6D94" w:rsidRDefault="00BF6D94" w:rsidP="001713B2">
            <w:pPr>
              <w:spacing w:line="240" w:lineRule="auto"/>
              <w:jc w:val="both"/>
              <w:rPr>
                <w:rFonts w:ascii="Arial" w:hAnsi="Arial" w:cs="Arial"/>
                <w:sz w:val="20"/>
              </w:rPr>
            </w:pPr>
          </w:p>
          <w:p w:rsidR="00BF6D94"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r>
              <w:rPr>
                <w:rFonts w:ascii="Arial" w:hAnsi="Arial" w:cs="Arial"/>
                <w:sz w:val="20"/>
              </w:rPr>
              <w:t>6270.38</w:t>
            </w:r>
          </w:p>
        </w:tc>
        <w:tc>
          <w:tcPr>
            <w:tcW w:w="1134" w:type="dxa"/>
          </w:tcPr>
          <w:p w:rsidR="00BF6D94" w:rsidRDefault="00BF6D94" w:rsidP="001713B2">
            <w:pPr>
              <w:spacing w:line="240" w:lineRule="auto"/>
              <w:jc w:val="both"/>
              <w:rPr>
                <w:rFonts w:ascii="Arial" w:hAnsi="Arial" w:cs="Arial"/>
                <w:sz w:val="20"/>
              </w:rPr>
            </w:pPr>
          </w:p>
          <w:p w:rsidR="00BF6D94"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r>
              <w:rPr>
                <w:rFonts w:ascii="Arial" w:hAnsi="Arial" w:cs="Arial"/>
                <w:sz w:val="20"/>
              </w:rPr>
              <w:t>+ 839.09</w:t>
            </w:r>
          </w:p>
        </w:tc>
        <w:tc>
          <w:tcPr>
            <w:tcW w:w="5245" w:type="dxa"/>
          </w:tcPr>
          <w:p w:rsidR="00BF6D94" w:rsidRDefault="00BF6D94" w:rsidP="001713B2">
            <w:pPr>
              <w:spacing w:line="240" w:lineRule="auto"/>
              <w:jc w:val="both"/>
              <w:rPr>
                <w:rFonts w:ascii="Arial" w:hAnsi="Arial" w:cs="Arial"/>
                <w:sz w:val="16"/>
                <w:szCs w:val="16"/>
              </w:rPr>
            </w:pPr>
            <w:r w:rsidRPr="00301B7D">
              <w:rPr>
                <w:rFonts w:ascii="Arial" w:hAnsi="Arial" w:cs="Arial"/>
                <w:sz w:val="16"/>
                <w:szCs w:val="16"/>
              </w:rPr>
              <w:t xml:space="preserve">If </w:t>
            </w:r>
            <w:r>
              <w:rPr>
                <w:rFonts w:ascii="Arial" w:hAnsi="Arial" w:cs="Arial"/>
                <w:sz w:val="16"/>
                <w:szCs w:val="16"/>
              </w:rPr>
              <w:t xml:space="preserve">some </w:t>
            </w:r>
            <w:r w:rsidRPr="00301B7D">
              <w:rPr>
                <w:rFonts w:ascii="Arial" w:hAnsi="Arial" w:cs="Arial"/>
                <w:sz w:val="16"/>
                <w:szCs w:val="16"/>
              </w:rPr>
              <w:t xml:space="preserve">of the year-end balances </w:t>
            </w:r>
            <w:r>
              <w:rPr>
                <w:rFonts w:ascii="Arial" w:hAnsi="Arial" w:cs="Arial"/>
                <w:sz w:val="16"/>
                <w:szCs w:val="16"/>
              </w:rPr>
              <w:t>are</w:t>
            </w:r>
            <w:r w:rsidRPr="00301B7D">
              <w:rPr>
                <w:rFonts w:ascii="Arial" w:hAnsi="Arial" w:cs="Arial"/>
                <w:sz w:val="16"/>
                <w:szCs w:val="16"/>
              </w:rPr>
              <w:t xml:space="preserve"> earmarked for specific purposes rather than </w:t>
            </w:r>
            <w:r>
              <w:rPr>
                <w:rFonts w:ascii="Arial" w:hAnsi="Arial" w:cs="Arial"/>
                <w:sz w:val="16"/>
                <w:szCs w:val="16"/>
              </w:rPr>
              <w:t xml:space="preserve">as </w:t>
            </w:r>
            <w:r w:rsidRPr="00301B7D">
              <w:rPr>
                <w:rFonts w:ascii="Arial" w:hAnsi="Arial" w:cs="Arial"/>
                <w:sz w:val="16"/>
                <w:szCs w:val="16"/>
              </w:rPr>
              <w:t>a general reserve, please provide a breakdown</w:t>
            </w:r>
            <w:r>
              <w:rPr>
                <w:rFonts w:ascii="Arial" w:hAnsi="Arial" w:cs="Arial"/>
                <w:sz w:val="16"/>
                <w:szCs w:val="16"/>
              </w:rPr>
              <w:t xml:space="preserve">. </w:t>
            </w:r>
          </w:p>
          <w:p w:rsidR="00BF6D94" w:rsidRDefault="00BF6D94" w:rsidP="001713B2">
            <w:pPr>
              <w:spacing w:line="240" w:lineRule="auto"/>
              <w:jc w:val="both"/>
              <w:rPr>
                <w:rFonts w:ascii="Arial" w:hAnsi="Arial" w:cs="Arial"/>
                <w:sz w:val="16"/>
                <w:szCs w:val="16"/>
              </w:rPr>
            </w:pPr>
          </w:p>
          <w:p w:rsidR="00BF6D94" w:rsidRPr="002A123D" w:rsidRDefault="00BF6D94" w:rsidP="001713B2">
            <w:pPr>
              <w:spacing w:line="240" w:lineRule="auto"/>
              <w:jc w:val="both"/>
              <w:rPr>
                <w:rFonts w:ascii="Arial" w:hAnsi="Arial" w:cs="Arial"/>
                <w:sz w:val="16"/>
                <w:szCs w:val="16"/>
              </w:rPr>
            </w:pPr>
            <w:r>
              <w:rPr>
                <w:rFonts w:ascii="Arial" w:hAnsi="Arial" w:cs="Arial"/>
                <w:sz w:val="16"/>
                <w:szCs w:val="16"/>
              </w:rPr>
              <w:t>Less project funding carried out this financial year increasing the overall balances carried forward. In February 2020 the Parish Council discussed projects for the next financial year that will benefit the local area but no specific earmarked funds.</w:t>
            </w:r>
          </w:p>
        </w:tc>
      </w:tr>
      <w:tr w:rsidR="00BF6D94" w:rsidRPr="002A123D">
        <w:trPr>
          <w:trHeight w:val="1125"/>
        </w:trPr>
        <w:tc>
          <w:tcPr>
            <w:tcW w:w="1101" w:type="dxa"/>
          </w:tcPr>
          <w:p w:rsidR="00BF6D94" w:rsidRPr="002A123D" w:rsidRDefault="00BF6D94" w:rsidP="001713B2">
            <w:pPr>
              <w:spacing w:line="240" w:lineRule="auto"/>
              <w:jc w:val="center"/>
              <w:rPr>
                <w:rFonts w:ascii="Arial" w:hAnsi="Arial" w:cs="Arial"/>
                <w:b/>
                <w:sz w:val="20"/>
              </w:rPr>
            </w:pPr>
            <w:r w:rsidRPr="002A123D">
              <w:rPr>
                <w:rFonts w:ascii="Arial" w:hAnsi="Arial" w:cs="Arial"/>
                <w:b/>
                <w:sz w:val="20"/>
              </w:rPr>
              <w:t>Box 9</w:t>
            </w:r>
          </w:p>
          <w:p w:rsidR="00BF6D94" w:rsidRPr="002A123D" w:rsidRDefault="00BF6D94" w:rsidP="001713B2">
            <w:pPr>
              <w:spacing w:line="240" w:lineRule="auto"/>
              <w:jc w:val="center"/>
              <w:rPr>
                <w:rFonts w:ascii="Arial" w:hAnsi="Arial" w:cs="Arial"/>
                <w:i/>
                <w:sz w:val="20"/>
              </w:rPr>
            </w:pPr>
            <w:r w:rsidRPr="002A123D">
              <w:rPr>
                <w:rFonts w:ascii="Arial" w:hAnsi="Arial" w:cs="Arial"/>
                <w:i/>
                <w:sz w:val="20"/>
              </w:rPr>
              <w:t>Fixed assets &amp; long term assets</w:t>
            </w:r>
          </w:p>
        </w:tc>
        <w:tc>
          <w:tcPr>
            <w:tcW w:w="992" w:type="dxa"/>
          </w:tcPr>
          <w:p w:rsidR="00BF6D94" w:rsidRPr="002A123D"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r>
              <w:rPr>
                <w:rFonts w:ascii="Arial" w:hAnsi="Arial" w:cs="Arial"/>
                <w:sz w:val="20"/>
              </w:rPr>
              <w:t>38650</w:t>
            </w:r>
          </w:p>
        </w:tc>
        <w:tc>
          <w:tcPr>
            <w:tcW w:w="992" w:type="dxa"/>
          </w:tcPr>
          <w:p w:rsidR="00BF6D94" w:rsidRDefault="00BF6D94" w:rsidP="001713B2">
            <w:pPr>
              <w:spacing w:line="240" w:lineRule="auto"/>
              <w:jc w:val="both"/>
              <w:rPr>
                <w:rFonts w:ascii="Arial" w:hAnsi="Arial" w:cs="Arial"/>
                <w:sz w:val="20"/>
              </w:rPr>
            </w:pPr>
          </w:p>
          <w:p w:rsidR="00BF6D94"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r>
              <w:rPr>
                <w:rFonts w:ascii="Arial" w:hAnsi="Arial" w:cs="Arial"/>
                <w:sz w:val="20"/>
              </w:rPr>
              <w:t>38650</w:t>
            </w:r>
          </w:p>
        </w:tc>
        <w:tc>
          <w:tcPr>
            <w:tcW w:w="1134" w:type="dxa"/>
          </w:tcPr>
          <w:p w:rsidR="00BF6D94" w:rsidRDefault="00BF6D94" w:rsidP="001713B2">
            <w:pPr>
              <w:spacing w:line="240" w:lineRule="auto"/>
              <w:jc w:val="both"/>
              <w:rPr>
                <w:rFonts w:ascii="Arial" w:hAnsi="Arial" w:cs="Arial"/>
                <w:sz w:val="20"/>
              </w:rPr>
            </w:pPr>
          </w:p>
          <w:p w:rsidR="00BF6D94"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r>
              <w:rPr>
                <w:rFonts w:ascii="Arial" w:hAnsi="Arial" w:cs="Arial"/>
                <w:sz w:val="20"/>
              </w:rPr>
              <w:t>0</w:t>
            </w:r>
          </w:p>
        </w:tc>
        <w:tc>
          <w:tcPr>
            <w:tcW w:w="5245" w:type="dxa"/>
          </w:tcPr>
          <w:p w:rsidR="00BF6D94" w:rsidRPr="002A123D" w:rsidRDefault="00BF6D94" w:rsidP="001713B2">
            <w:pPr>
              <w:spacing w:line="240" w:lineRule="auto"/>
              <w:jc w:val="both"/>
              <w:rPr>
                <w:rFonts w:ascii="Arial" w:hAnsi="Arial" w:cs="Arial"/>
                <w:sz w:val="20"/>
              </w:rPr>
            </w:pPr>
          </w:p>
          <w:p w:rsidR="00BF6D94" w:rsidRPr="004C1FDA" w:rsidRDefault="00BF6D94" w:rsidP="001713B2">
            <w:pPr>
              <w:spacing w:line="240" w:lineRule="auto"/>
              <w:jc w:val="both"/>
              <w:rPr>
                <w:rFonts w:ascii="Arial" w:hAnsi="Arial" w:cs="Arial"/>
                <w:b/>
                <w:sz w:val="16"/>
                <w:szCs w:val="16"/>
              </w:rPr>
            </w:pPr>
            <w:r w:rsidRPr="004C1FDA">
              <w:rPr>
                <w:rFonts w:ascii="Arial" w:hAnsi="Arial" w:cs="Arial"/>
                <w:b/>
                <w:sz w:val="16"/>
                <w:szCs w:val="16"/>
              </w:rPr>
              <w:t>Explain all movements in this category and not just those above 15%</w:t>
            </w:r>
          </w:p>
          <w:p w:rsidR="00BF6D94" w:rsidRPr="002A123D" w:rsidRDefault="00BF6D94" w:rsidP="001713B2">
            <w:pPr>
              <w:spacing w:line="240" w:lineRule="auto"/>
              <w:jc w:val="both"/>
              <w:rPr>
                <w:rFonts w:ascii="Arial" w:hAnsi="Arial" w:cs="Arial"/>
                <w:sz w:val="20"/>
              </w:rPr>
            </w:pPr>
            <w:r>
              <w:rPr>
                <w:rFonts w:ascii="Arial" w:hAnsi="Arial" w:cs="Arial"/>
                <w:sz w:val="20"/>
              </w:rPr>
              <w:t>No Movement in this category.</w:t>
            </w:r>
          </w:p>
        </w:tc>
      </w:tr>
      <w:tr w:rsidR="00BF6D94" w:rsidRPr="002A123D">
        <w:trPr>
          <w:trHeight w:val="1125"/>
        </w:trPr>
        <w:tc>
          <w:tcPr>
            <w:tcW w:w="1101" w:type="dxa"/>
          </w:tcPr>
          <w:p w:rsidR="00BF6D94" w:rsidRPr="002A123D" w:rsidRDefault="00BF6D94" w:rsidP="001713B2">
            <w:pPr>
              <w:spacing w:line="240" w:lineRule="auto"/>
              <w:jc w:val="center"/>
              <w:rPr>
                <w:rFonts w:ascii="Arial" w:hAnsi="Arial" w:cs="Arial"/>
                <w:b/>
                <w:sz w:val="20"/>
              </w:rPr>
            </w:pPr>
            <w:r w:rsidRPr="002A123D">
              <w:rPr>
                <w:rFonts w:ascii="Arial" w:hAnsi="Arial" w:cs="Arial"/>
                <w:b/>
                <w:sz w:val="20"/>
              </w:rPr>
              <w:t>Box 10</w:t>
            </w:r>
          </w:p>
          <w:p w:rsidR="00BF6D94" w:rsidRPr="002A123D" w:rsidRDefault="00BF6D94" w:rsidP="001713B2">
            <w:pPr>
              <w:spacing w:line="240" w:lineRule="auto"/>
              <w:jc w:val="center"/>
              <w:rPr>
                <w:rFonts w:ascii="Arial" w:hAnsi="Arial" w:cs="Arial"/>
                <w:i/>
                <w:sz w:val="20"/>
              </w:rPr>
            </w:pPr>
            <w:r w:rsidRPr="002A123D">
              <w:rPr>
                <w:rFonts w:ascii="Arial" w:hAnsi="Arial" w:cs="Arial"/>
                <w:i/>
                <w:sz w:val="20"/>
              </w:rPr>
              <w:t>Total borrowing</w:t>
            </w:r>
          </w:p>
        </w:tc>
        <w:tc>
          <w:tcPr>
            <w:tcW w:w="992" w:type="dxa"/>
          </w:tcPr>
          <w:p w:rsidR="00BF6D94" w:rsidRDefault="00BF6D94" w:rsidP="001713B2">
            <w:pPr>
              <w:spacing w:line="240" w:lineRule="auto"/>
              <w:jc w:val="both"/>
              <w:rPr>
                <w:rFonts w:ascii="Arial" w:hAnsi="Arial" w:cs="Arial"/>
                <w:sz w:val="20"/>
              </w:rPr>
            </w:pPr>
          </w:p>
          <w:p w:rsidR="00BF6D94"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r>
              <w:rPr>
                <w:rFonts w:ascii="Arial" w:hAnsi="Arial" w:cs="Arial"/>
                <w:sz w:val="20"/>
              </w:rPr>
              <w:t>Nil</w:t>
            </w:r>
          </w:p>
        </w:tc>
        <w:tc>
          <w:tcPr>
            <w:tcW w:w="992" w:type="dxa"/>
          </w:tcPr>
          <w:p w:rsidR="00BF6D94" w:rsidRDefault="00BF6D94" w:rsidP="001713B2">
            <w:pPr>
              <w:spacing w:line="240" w:lineRule="auto"/>
              <w:jc w:val="both"/>
              <w:rPr>
                <w:rFonts w:ascii="Arial" w:hAnsi="Arial" w:cs="Arial"/>
                <w:sz w:val="20"/>
              </w:rPr>
            </w:pPr>
          </w:p>
          <w:p w:rsidR="00BF6D94"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r>
              <w:rPr>
                <w:rFonts w:ascii="Arial" w:hAnsi="Arial" w:cs="Arial"/>
                <w:sz w:val="20"/>
              </w:rPr>
              <w:t>Nil</w:t>
            </w:r>
          </w:p>
        </w:tc>
        <w:tc>
          <w:tcPr>
            <w:tcW w:w="1134" w:type="dxa"/>
          </w:tcPr>
          <w:p w:rsidR="00BF6D94" w:rsidRDefault="00BF6D94" w:rsidP="001713B2">
            <w:pPr>
              <w:spacing w:line="240" w:lineRule="auto"/>
              <w:jc w:val="both"/>
              <w:rPr>
                <w:rFonts w:ascii="Arial" w:hAnsi="Arial" w:cs="Arial"/>
                <w:sz w:val="20"/>
              </w:rPr>
            </w:pPr>
          </w:p>
          <w:p w:rsidR="00BF6D94"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r>
              <w:rPr>
                <w:rFonts w:ascii="Arial" w:hAnsi="Arial" w:cs="Arial"/>
                <w:sz w:val="20"/>
              </w:rPr>
              <w:t>Nil</w:t>
            </w:r>
          </w:p>
        </w:tc>
        <w:tc>
          <w:tcPr>
            <w:tcW w:w="5245" w:type="dxa"/>
          </w:tcPr>
          <w:p w:rsidR="00BF6D94" w:rsidRPr="002A123D"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p>
          <w:p w:rsidR="00BF6D94" w:rsidRPr="002A123D" w:rsidRDefault="00BF6D94" w:rsidP="001713B2">
            <w:pPr>
              <w:spacing w:line="240" w:lineRule="auto"/>
              <w:jc w:val="both"/>
              <w:rPr>
                <w:rFonts w:ascii="Arial" w:hAnsi="Arial" w:cs="Arial"/>
                <w:sz w:val="20"/>
              </w:rPr>
            </w:pPr>
          </w:p>
        </w:tc>
      </w:tr>
    </w:tbl>
    <w:p w:rsidR="00A776B8" w:rsidRDefault="00BF6D94"/>
    <w:sectPr w:rsidR="00A776B8" w:rsidSect="00A776B8">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BF6D94"/>
    <w:rsid w:val="00BF6D94"/>
  </w:rsids>
  <m:mathPr>
    <m:mathFont m:val="American Typewriter"/>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D94"/>
    <w:pPr>
      <w:spacing w:line="280" w:lineRule="atLeast"/>
    </w:pPr>
    <w:rPr>
      <w:rFonts w:ascii="Times New Roman" w:eastAsia="Times New Roman" w:hAnsi="Times New Roman" w:cs="Times New Roman"/>
      <w:sz w:val="22"/>
      <w:szCs w:val="20"/>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Dickinson</dc:creator>
  <cp:keywords/>
  <cp:lastModifiedBy>Joanne Dickinson</cp:lastModifiedBy>
  <cp:revision>1</cp:revision>
  <dcterms:created xsi:type="dcterms:W3CDTF">2020-06-01T06:37:00Z</dcterms:created>
  <dcterms:modified xsi:type="dcterms:W3CDTF">2020-06-01T06:38:00Z</dcterms:modified>
</cp:coreProperties>
</file>